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bottomFromText="200" w:vertAnchor="text" w:horzAnchor="margin" w:tblpXSpec="center" w:tblpY="-2680"/>
        <w:tblW w:w="10442" w:type="dxa"/>
        <w:tblCellMar>
          <w:left w:w="0" w:type="dxa"/>
          <w:right w:w="0" w:type="dxa"/>
        </w:tblCellMar>
        <w:tblLook w:val="04A0" w:firstRow="1" w:lastRow="0" w:firstColumn="1" w:lastColumn="0" w:noHBand="0" w:noVBand="1"/>
      </w:tblPr>
      <w:tblGrid>
        <w:gridCol w:w="4255"/>
        <w:gridCol w:w="6187"/>
      </w:tblGrid>
      <w:tr w:rsidR="00F12636" w:rsidTr="00F12636">
        <w:trPr>
          <w:trHeight w:val="1008"/>
        </w:trPr>
        <w:tc>
          <w:tcPr>
            <w:tcW w:w="4255" w:type="dxa"/>
            <w:tcMar>
              <w:top w:w="0" w:type="dxa"/>
              <w:left w:w="108" w:type="dxa"/>
              <w:bottom w:w="0" w:type="dxa"/>
              <w:right w:w="108" w:type="dxa"/>
            </w:tcMar>
          </w:tcPr>
          <w:p w:rsidR="00F12636" w:rsidRDefault="00F12636">
            <w:pPr>
              <w:spacing w:line="276" w:lineRule="auto"/>
              <w:rPr>
                <w:sz w:val="26"/>
                <w:szCs w:val="26"/>
              </w:rPr>
            </w:pPr>
          </w:p>
          <w:p w:rsidR="00F12636" w:rsidRDefault="00F12636">
            <w:pPr>
              <w:spacing w:line="276" w:lineRule="auto"/>
              <w:rPr>
                <w:bCs/>
                <w:sz w:val="26"/>
                <w:szCs w:val="26"/>
              </w:rPr>
            </w:pPr>
            <w:r>
              <w:rPr>
                <w:sz w:val="26"/>
                <w:szCs w:val="26"/>
              </w:rPr>
              <w:br w:type="page"/>
            </w:r>
          </w:p>
          <w:p w:rsidR="00F12636" w:rsidRDefault="00F12636">
            <w:pPr>
              <w:spacing w:line="276" w:lineRule="auto"/>
              <w:jc w:val="center"/>
              <w:rPr>
                <w:bCs/>
                <w:sz w:val="26"/>
                <w:szCs w:val="26"/>
              </w:rPr>
            </w:pPr>
            <w:r>
              <w:rPr>
                <w:bCs/>
                <w:sz w:val="26"/>
                <w:szCs w:val="26"/>
              </w:rPr>
              <w:t>SỞ GIÁO DỤC VÀ ĐÀO TẠO</w:t>
            </w:r>
          </w:p>
          <w:p w:rsidR="00F12636" w:rsidRDefault="00F12636">
            <w:pPr>
              <w:spacing w:line="276" w:lineRule="auto"/>
              <w:jc w:val="center"/>
              <w:rPr>
                <w:bCs/>
                <w:sz w:val="26"/>
                <w:szCs w:val="26"/>
              </w:rPr>
            </w:pPr>
            <w:r>
              <w:rPr>
                <w:bCs/>
                <w:sz w:val="26"/>
                <w:szCs w:val="26"/>
              </w:rPr>
              <w:t>THÀNH PHỐ HỒ CHÍ MINH</w:t>
            </w:r>
          </w:p>
          <w:p w:rsidR="00F12636" w:rsidRDefault="00F12636">
            <w:pPr>
              <w:spacing w:line="276" w:lineRule="auto"/>
              <w:jc w:val="center"/>
              <w:rPr>
                <w:b/>
                <w:bCs/>
                <w:sz w:val="26"/>
                <w:szCs w:val="26"/>
              </w:rPr>
            </w:pPr>
            <w:r>
              <w:rPr>
                <w:b/>
                <w:bCs/>
                <w:sz w:val="26"/>
                <w:szCs w:val="26"/>
              </w:rPr>
              <w:t>ĐƠN VỊ</w:t>
            </w:r>
            <w:r w:rsidR="001008C5">
              <w:rPr>
                <w:b/>
                <w:bCs/>
                <w:sz w:val="26"/>
                <w:szCs w:val="26"/>
              </w:rPr>
              <w:t>: Trường cao đẳng Lý Tự Trọng Thành phố Hồ Chí Minh</w:t>
            </w:r>
          </w:p>
          <w:p w:rsidR="00F12636" w:rsidRDefault="00F12636">
            <w:pPr>
              <w:spacing w:line="276" w:lineRule="auto"/>
              <w:jc w:val="center"/>
              <w:rPr>
                <w:b/>
                <w:bCs/>
                <w:sz w:val="26"/>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865505</wp:posOffset>
                      </wp:positionH>
                      <wp:positionV relativeFrom="paragraph">
                        <wp:posOffset>177800</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8.15pt,14pt" to="127.1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"/>
                  </w:pict>
                </mc:Fallback>
              </mc:AlternateContent>
            </w:r>
          </w:p>
        </w:tc>
        <w:tc>
          <w:tcPr>
            <w:tcW w:w="6187" w:type="dxa"/>
            <w:tcMar>
              <w:top w:w="0" w:type="dxa"/>
              <w:left w:w="108" w:type="dxa"/>
              <w:bottom w:w="0" w:type="dxa"/>
              <w:right w:w="108" w:type="dxa"/>
            </w:tcMar>
          </w:tcPr>
          <w:p w:rsidR="00F12636" w:rsidRDefault="00F12636">
            <w:pPr>
              <w:spacing w:line="276" w:lineRule="auto"/>
              <w:rPr>
                <w:b/>
                <w:bCs/>
                <w:sz w:val="26"/>
                <w:szCs w:val="26"/>
              </w:rPr>
            </w:pPr>
          </w:p>
          <w:p w:rsidR="00F12636" w:rsidRDefault="00F12636">
            <w:pPr>
              <w:spacing w:line="276" w:lineRule="auto"/>
              <w:jc w:val="center"/>
              <w:rPr>
                <w:b/>
                <w:bCs/>
                <w:sz w:val="26"/>
                <w:szCs w:val="26"/>
              </w:rPr>
            </w:pPr>
          </w:p>
          <w:p w:rsidR="00F12636" w:rsidRDefault="00F12636">
            <w:pPr>
              <w:spacing w:line="276" w:lineRule="auto"/>
              <w:jc w:val="center"/>
              <w:rPr>
                <w:sz w:val="26"/>
                <w:szCs w:val="26"/>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884555</wp:posOffset>
                      </wp:positionH>
                      <wp:positionV relativeFrom="paragraph">
                        <wp:posOffset>452755</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Pr>
                <w:b/>
                <w:bCs/>
                <w:sz w:val="26"/>
                <w:szCs w:val="26"/>
              </w:rPr>
              <w:t>CỘNG HÒA XÃ HỘI CHỦ NGHĨA VIỆT NAM</w:t>
            </w:r>
            <w:r>
              <w:rPr>
                <w:b/>
                <w:bCs/>
                <w:sz w:val="26"/>
                <w:szCs w:val="26"/>
              </w:rPr>
              <w:br/>
              <w:t>Độc lập - Tự do - Hạnh phúc</w:t>
            </w:r>
            <w:r>
              <w:rPr>
                <w:b/>
                <w:bCs/>
                <w:sz w:val="26"/>
                <w:szCs w:val="26"/>
              </w:rPr>
              <w:br/>
            </w:r>
          </w:p>
        </w:tc>
      </w:tr>
      <w:tr w:rsidR="00F12636" w:rsidTr="00F12636">
        <w:trPr>
          <w:trHeight w:val="726"/>
        </w:trPr>
        <w:tc>
          <w:tcPr>
            <w:tcW w:w="4255" w:type="dxa"/>
            <w:tcMar>
              <w:top w:w="0" w:type="dxa"/>
              <w:left w:w="108" w:type="dxa"/>
              <w:bottom w:w="0" w:type="dxa"/>
              <w:right w:w="108" w:type="dxa"/>
            </w:tcMar>
          </w:tcPr>
          <w:p w:rsidR="00F12636" w:rsidRDefault="00F12636">
            <w:pPr>
              <w:spacing w:before="120" w:after="120" w:line="288" w:lineRule="auto"/>
              <w:rPr>
                <w:sz w:val="26"/>
                <w:szCs w:val="26"/>
              </w:rPr>
            </w:pPr>
          </w:p>
        </w:tc>
        <w:tc>
          <w:tcPr>
            <w:tcW w:w="6187" w:type="dxa"/>
            <w:tcMar>
              <w:top w:w="0" w:type="dxa"/>
              <w:left w:w="108" w:type="dxa"/>
              <w:bottom w:w="0" w:type="dxa"/>
              <w:right w:w="108" w:type="dxa"/>
            </w:tcMar>
            <w:hideMark/>
          </w:tcPr>
          <w:p w:rsidR="00F12636" w:rsidRDefault="00F12636">
            <w:pPr>
              <w:spacing w:line="276" w:lineRule="auto"/>
              <w:jc w:val="center"/>
              <w:rPr>
                <w:sz w:val="26"/>
                <w:szCs w:val="26"/>
              </w:rPr>
            </w:pPr>
            <w:r>
              <w:rPr>
                <w:i/>
                <w:iCs/>
                <w:sz w:val="26"/>
                <w:szCs w:val="26"/>
              </w:rPr>
              <w:t>Thành phố Hồ Chí Minh, ngày        tháng      năm 2018</w:t>
            </w:r>
          </w:p>
        </w:tc>
      </w:tr>
    </w:tbl>
    <w:p w:rsidR="00F12636" w:rsidRDefault="00F12636" w:rsidP="00F12636">
      <w:pPr>
        <w:jc w:val="center"/>
        <w:rPr>
          <w:b/>
          <w:sz w:val="28"/>
          <w:szCs w:val="26"/>
        </w:rPr>
      </w:pPr>
      <w:r>
        <w:rPr>
          <w:b/>
          <w:sz w:val="28"/>
          <w:szCs w:val="26"/>
        </w:rPr>
        <w:t>BÀI DỰ THI</w:t>
      </w:r>
    </w:p>
    <w:p w:rsidR="00F12636" w:rsidRDefault="00F12636" w:rsidP="00F12636">
      <w:pPr>
        <w:spacing w:line="264" w:lineRule="auto"/>
        <w:ind w:firstLine="360"/>
        <w:jc w:val="center"/>
        <w:rPr>
          <w:b/>
          <w:bCs/>
          <w:sz w:val="28"/>
          <w:szCs w:val="28"/>
        </w:rPr>
      </w:pPr>
      <w:r>
        <w:rPr>
          <w:b/>
          <w:spacing w:val="-4"/>
          <w:sz w:val="28"/>
          <w:szCs w:val="28"/>
        </w:rPr>
        <w:t>Hội thi</w:t>
      </w:r>
      <w:r>
        <w:rPr>
          <w:b/>
          <w:bCs/>
          <w:sz w:val="28"/>
          <w:szCs w:val="28"/>
        </w:rPr>
        <w:t xml:space="preserve"> “Người tuyên truyền pháp luật giỏi”</w:t>
      </w:r>
    </w:p>
    <w:p w:rsidR="00F12636" w:rsidRDefault="00F12636" w:rsidP="00F12636">
      <w:pPr>
        <w:spacing w:line="264" w:lineRule="auto"/>
        <w:ind w:firstLine="360"/>
        <w:jc w:val="center"/>
        <w:rPr>
          <w:b/>
          <w:bCs/>
          <w:sz w:val="28"/>
          <w:szCs w:val="28"/>
        </w:rPr>
      </w:pPr>
      <w:r>
        <w:rPr>
          <w:b/>
          <w:bCs/>
          <w:sz w:val="28"/>
          <w:szCs w:val="28"/>
        </w:rPr>
        <w:t>ngành Giáo dục và Đào tạo Thành phố năm 2018</w:t>
      </w:r>
    </w:p>
    <w:p w:rsidR="00F12636" w:rsidRDefault="00F12636" w:rsidP="00F12636">
      <w:pPr>
        <w:jc w:val="center"/>
        <w:rPr>
          <w:sz w:val="26"/>
          <w:szCs w:val="26"/>
        </w:rPr>
      </w:pPr>
      <w:r>
        <w:rPr>
          <w:sz w:val="26"/>
          <w:szCs w:val="26"/>
        </w:rPr>
        <w:t>__________________</w:t>
      </w:r>
    </w:p>
    <w:p w:rsidR="00F12636" w:rsidRDefault="00F12636" w:rsidP="00F12636">
      <w:pPr>
        <w:tabs>
          <w:tab w:val="right" w:leader="dot" w:pos="10170"/>
        </w:tabs>
        <w:spacing w:before="120" w:after="120"/>
        <w:rPr>
          <w:sz w:val="26"/>
          <w:szCs w:val="26"/>
        </w:rPr>
      </w:pPr>
      <w:r>
        <w:rPr>
          <w:sz w:val="26"/>
          <w:szCs w:val="26"/>
        </w:rPr>
        <w:t xml:space="preserve">Họ và tên: </w:t>
      </w:r>
      <w:r w:rsidR="001008C5">
        <w:rPr>
          <w:sz w:val="26"/>
          <w:szCs w:val="26"/>
        </w:rPr>
        <w:t xml:space="preserve">HỒ MINH LỢI  </w:t>
      </w:r>
      <w:r>
        <w:rPr>
          <w:sz w:val="26"/>
          <w:szCs w:val="26"/>
        </w:rPr>
        <w:t>.Nam (nữ</w:t>
      </w:r>
      <w:r w:rsidR="001008C5">
        <w:rPr>
          <w:sz w:val="26"/>
          <w:szCs w:val="26"/>
        </w:rPr>
        <w:t>) : Nam</w:t>
      </w:r>
    </w:p>
    <w:p w:rsidR="00F12636" w:rsidRDefault="00F12636" w:rsidP="00F12636">
      <w:pPr>
        <w:tabs>
          <w:tab w:val="right" w:leader="dot" w:pos="10170"/>
        </w:tabs>
        <w:spacing w:before="120" w:after="120"/>
        <w:rPr>
          <w:sz w:val="26"/>
          <w:szCs w:val="26"/>
        </w:rPr>
      </w:pPr>
      <w:r>
        <w:rPr>
          <w:sz w:val="26"/>
          <w:szCs w:val="26"/>
        </w:rPr>
        <w:t>Ngày tháng năm sinh:</w:t>
      </w:r>
      <w:r w:rsidR="001008C5">
        <w:rPr>
          <w:sz w:val="26"/>
          <w:szCs w:val="26"/>
        </w:rPr>
        <w:t xml:space="preserve"> 28/01/1962</w:t>
      </w:r>
    </w:p>
    <w:p w:rsidR="00F12636" w:rsidRDefault="00F12636" w:rsidP="00F12636">
      <w:pPr>
        <w:tabs>
          <w:tab w:val="right" w:leader="dot" w:pos="10170"/>
        </w:tabs>
        <w:spacing w:before="120" w:after="120"/>
        <w:rPr>
          <w:sz w:val="26"/>
          <w:szCs w:val="26"/>
        </w:rPr>
      </w:pPr>
      <w:r>
        <w:rPr>
          <w:sz w:val="26"/>
          <w:szCs w:val="26"/>
        </w:rPr>
        <w:t>Đơn vị công tác</w:t>
      </w:r>
      <w:r w:rsidR="004E571E">
        <w:rPr>
          <w:sz w:val="26"/>
          <w:szCs w:val="26"/>
        </w:rPr>
        <w:t>: Phòng CTCT-HSSV</w:t>
      </w:r>
    </w:p>
    <w:p w:rsidR="00F12636" w:rsidRDefault="00F12636" w:rsidP="00F12636">
      <w:pPr>
        <w:tabs>
          <w:tab w:val="right" w:leader="dot" w:pos="10170"/>
        </w:tabs>
        <w:spacing w:before="120" w:after="120"/>
        <w:rPr>
          <w:sz w:val="26"/>
          <w:szCs w:val="26"/>
        </w:rPr>
      </w:pPr>
      <w:r>
        <w:rPr>
          <w:sz w:val="26"/>
          <w:szCs w:val="26"/>
        </w:rPr>
        <w:t>Địa chỉ cư trú</w:t>
      </w:r>
      <w:r w:rsidR="004E571E">
        <w:rPr>
          <w:sz w:val="26"/>
          <w:szCs w:val="26"/>
        </w:rPr>
        <w:t xml:space="preserve"> 1025/46G Cách Mạng Tháng Tám; P.7; Q.TB</w:t>
      </w:r>
    </w:p>
    <w:p w:rsidR="00F12636" w:rsidRDefault="00F12636" w:rsidP="00F12636">
      <w:pPr>
        <w:tabs>
          <w:tab w:val="right" w:leader="dot" w:pos="10170"/>
        </w:tabs>
        <w:spacing w:before="120" w:after="120"/>
        <w:rPr>
          <w:sz w:val="26"/>
          <w:szCs w:val="26"/>
        </w:rPr>
      </w:pPr>
      <w:r>
        <w:rPr>
          <w:sz w:val="26"/>
          <w:szCs w:val="26"/>
        </w:rPr>
        <w:t>Điện thoại</w:t>
      </w:r>
      <w:r w:rsidR="004E571E">
        <w:rPr>
          <w:sz w:val="26"/>
          <w:szCs w:val="26"/>
        </w:rPr>
        <w:t xml:space="preserve"> : 0903663347</w:t>
      </w:r>
    </w:p>
    <w:p w:rsidR="00F12636" w:rsidRDefault="00F12636" w:rsidP="00F12636">
      <w:pPr>
        <w:tabs>
          <w:tab w:val="right" w:leader="dot" w:pos="10170"/>
        </w:tabs>
        <w:spacing w:before="120" w:after="120"/>
        <w:rPr>
          <w:sz w:val="26"/>
          <w:szCs w:val="26"/>
        </w:rPr>
      </w:pPr>
      <w:r>
        <w:rPr>
          <w:sz w:val="26"/>
          <w:szCs w:val="26"/>
        </w:rPr>
        <w:t>Email</w:t>
      </w:r>
      <w:r w:rsidR="004E571E">
        <w:rPr>
          <w:sz w:val="26"/>
          <w:szCs w:val="26"/>
        </w:rPr>
        <w:t xml:space="preserve"> : loihominh62@gmail.com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9"/>
        <w:gridCol w:w="1951"/>
        <w:gridCol w:w="2459"/>
        <w:gridCol w:w="3420"/>
      </w:tblGrid>
      <w:tr w:rsidR="00F12636" w:rsidTr="00F12636">
        <w:tc>
          <w:tcPr>
            <w:tcW w:w="4201" w:type="dxa"/>
            <w:gridSpan w:val="2"/>
            <w:tcBorders>
              <w:top w:val="single" w:sz="4" w:space="0" w:color="auto"/>
              <w:left w:val="single" w:sz="4" w:space="0" w:color="auto"/>
              <w:bottom w:val="single" w:sz="4" w:space="0" w:color="auto"/>
              <w:right w:val="single" w:sz="4" w:space="0" w:color="auto"/>
            </w:tcBorders>
            <w:hideMark/>
          </w:tcPr>
          <w:p w:rsidR="00F12636" w:rsidRDefault="00F12636">
            <w:pPr>
              <w:spacing w:line="276" w:lineRule="auto"/>
              <w:jc w:val="center"/>
              <w:rPr>
                <w:b/>
                <w:sz w:val="26"/>
                <w:szCs w:val="26"/>
              </w:rPr>
            </w:pPr>
            <w:r>
              <w:rPr>
                <w:b/>
                <w:sz w:val="26"/>
                <w:szCs w:val="26"/>
              </w:rPr>
              <w:t>Kết quả điểm 2 phần</w:t>
            </w:r>
          </w:p>
        </w:tc>
        <w:tc>
          <w:tcPr>
            <w:tcW w:w="2459" w:type="dxa"/>
            <w:tcBorders>
              <w:top w:val="single" w:sz="4" w:space="0" w:color="auto"/>
              <w:left w:val="single" w:sz="4" w:space="0" w:color="auto"/>
              <w:bottom w:val="single" w:sz="4" w:space="0" w:color="auto"/>
              <w:right w:val="single" w:sz="4" w:space="0" w:color="auto"/>
            </w:tcBorders>
            <w:hideMark/>
          </w:tcPr>
          <w:p w:rsidR="00F12636" w:rsidRDefault="00F12636">
            <w:pPr>
              <w:spacing w:line="276" w:lineRule="auto"/>
              <w:jc w:val="center"/>
              <w:rPr>
                <w:b/>
                <w:sz w:val="26"/>
                <w:szCs w:val="26"/>
              </w:rPr>
            </w:pPr>
            <w:r>
              <w:rPr>
                <w:b/>
                <w:sz w:val="26"/>
                <w:szCs w:val="26"/>
              </w:rPr>
              <w:t>Tổng cộng</w:t>
            </w:r>
          </w:p>
        </w:tc>
        <w:tc>
          <w:tcPr>
            <w:tcW w:w="3420" w:type="dxa"/>
            <w:tcBorders>
              <w:top w:val="single" w:sz="4" w:space="0" w:color="auto"/>
              <w:left w:val="single" w:sz="4" w:space="0" w:color="auto"/>
              <w:bottom w:val="single" w:sz="4" w:space="0" w:color="auto"/>
              <w:right w:val="single" w:sz="4" w:space="0" w:color="auto"/>
            </w:tcBorders>
            <w:hideMark/>
          </w:tcPr>
          <w:p w:rsidR="00F12636" w:rsidRDefault="00F12636">
            <w:pPr>
              <w:spacing w:line="276" w:lineRule="auto"/>
              <w:jc w:val="center"/>
              <w:rPr>
                <w:b/>
                <w:sz w:val="26"/>
                <w:szCs w:val="26"/>
              </w:rPr>
            </w:pPr>
            <w:r>
              <w:rPr>
                <w:b/>
                <w:sz w:val="26"/>
                <w:szCs w:val="26"/>
              </w:rPr>
              <w:t>Tên Giám khảo</w:t>
            </w:r>
          </w:p>
        </w:tc>
      </w:tr>
      <w:tr w:rsidR="00F12636" w:rsidTr="00F12636">
        <w:trPr>
          <w:trHeight w:val="422"/>
        </w:trPr>
        <w:tc>
          <w:tcPr>
            <w:tcW w:w="2250" w:type="dxa"/>
            <w:tcBorders>
              <w:top w:val="single" w:sz="4" w:space="0" w:color="auto"/>
              <w:left w:val="single" w:sz="4" w:space="0" w:color="auto"/>
              <w:bottom w:val="single" w:sz="4" w:space="0" w:color="auto"/>
              <w:right w:val="single" w:sz="4" w:space="0" w:color="auto"/>
            </w:tcBorders>
            <w:hideMark/>
          </w:tcPr>
          <w:p w:rsidR="00F12636" w:rsidRDefault="00F12636">
            <w:pPr>
              <w:spacing w:line="276" w:lineRule="auto"/>
              <w:rPr>
                <w:sz w:val="26"/>
                <w:szCs w:val="26"/>
              </w:rPr>
            </w:pPr>
            <w:r>
              <w:rPr>
                <w:sz w:val="26"/>
                <w:szCs w:val="26"/>
              </w:rPr>
              <w:t>Phần trắc nghiệm:</w:t>
            </w:r>
          </w:p>
        </w:tc>
        <w:tc>
          <w:tcPr>
            <w:tcW w:w="1951" w:type="dxa"/>
            <w:tcBorders>
              <w:top w:val="single" w:sz="4" w:space="0" w:color="auto"/>
              <w:left w:val="single" w:sz="4" w:space="0" w:color="auto"/>
              <w:bottom w:val="single" w:sz="4" w:space="0" w:color="auto"/>
              <w:right w:val="single" w:sz="4" w:space="0" w:color="auto"/>
            </w:tcBorders>
          </w:tcPr>
          <w:p w:rsidR="00F12636" w:rsidRDefault="00F12636">
            <w:pPr>
              <w:spacing w:line="276" w:lineRule="auto"/>
              <w:rPr>
                <w:sz w:val="26"/>
                <w:szCs w:val="26"/>
              </w:rPr>
            </w:pPr>
          </w:p>
        </w:tc>
        <w:tc>
          <w:tcPr>
            <w:tcW w:w="2459" w:type="dxa"/>
            <w:vMerge w:val="restart"/>
            <w:tcBorders>
              <w:top w:val="single" w:sz="4" w:space="0" w:color="auto"/>
              <w:left w:val="single" w:sz="4" w:space="0" w:color="auto"/>
              <w:bottom w:val="single" w:sz="4" w:space="0" w:color="auto"/>
              <w:right w:val="single" w:sz="4" w:space="0" w:color="auto"/>
            </w:tcBorders>
          </w:tcPr>
          <w:p w:rsidR="00F12636" w:rsidRDefault="00F12636">
            <w:pPr>
              <w:spacing w:line="276" w:lineRule="auto"/>
              <w:rPr>
                <w:sz w:val="26"/>
                <w:szCs w:val="26"/>
              </w:rPr>
            </w:pPr>
          </w:p>
        </w:tc>
        <w:tc>
          <w:tcPr>
            <w:tcW w:w="3420" w:type="dxa"/>
            <w:vMerge w:val="restart"/>
            <w:tcBorders>
              <w:top w:val="single" w:sz="4" w:space="0" w:color="auto"/>
              <w:left w:val="single" w:sz="4" w:space="0" w:color="auto"/>
              <w:bottom w:val="single" w:sz="4" w:space="0" w:color="auto"/>
              <w:right w:val="single" w:sz="4" w:space="0" w:color="auto"/>
            </w:tcBorders>
          </w:tcPr>
          <w:p w:rsidR="00F12636" w:rsidRDefault="00F12636">
            <w:pPr>
              <w:spacing w:line="276" w:lineRule="auto"/>
              <w:rPr>
                <w:sz w:val="26"/>
                <w:szCs w:val="26"/>
              </w:rPr>
            </w:pPr>
          </w:p>
        </w:tc>
      </w:tr>
      <w:tr w:rsidR="00F12636" w:rsidTr="00F12636">
        <w:trPr>
          <w:trHeight w:val="458"/>
        </w:trPr>
        <w:tc>
          <w:tcPr>
            <w:tcW w:w="2250" w:type="dxa"/>
            <w:tcBorders>
              <w:top w:val="single" w:sz="4" w:space="0" w:color="auto"/>
              <w:left w:val="single" w:sz="4" w:space="0" w:color="auto"/>
              <w:bottom w:val="single" w:sz="4" w:space="0" w:color="auto"/>
              <w:right w:val="single" w:sz="4" w:space="0" w:color="auto"/>
            </w:tcBorders>
            <w:hideMark/>
          </w:tcPr>
          <w:p w:rsidR="00F12636" w:rsidRDefault="00F12636">
            <w:pPr>
              <w:spacing w:line="276" w:lineRule="auto"/>
              <w:rPr>
                <w:sz w:val="26"/>
                <w:szCs w:val="26"/>
              </w:rPr>
            </w:pPr>
            <w:r>
              <w:rPr>
                <w:sz w:val="26"/>
                <w:szCs w:val="26"/>
              </w:rPr>
              <w:t>Phần tự luận</w:t>
            </w:r>
          </w:p>
        </w:tc>
        <w:tc>
          <w:tcPr>
            <w:tcW w:w="1951" w:type="dxa"/>
            <w:tcBorders>
              <w:top w:val="single" w:sz="4" w:space="0" w:color="auto"/>
              <w:left w:val="single" w:sz="4" w:space="0" w:color="auto"/>
              <w:bottom w:val="single" w:sz="4" w:space="0" w:color="auto"/>
              <w:right w:val="single" w:sz="4" w:space="0" w:color="auto"/>
            </w:tcBorders>
          </w:tcPr>
          <w:p w:rsidR="00F12636" w:rsidRDefault="00F12636">
            <w:pPr>
              <w:spacing w:line="276" w:lineRule="auto"/>
              <w:rPr>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2636" w:rsidRDefault="00F12636">
            <w:pPr>
              <w:rPr>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2636" w:rsidRDefault="00F12636">
            <w:pPr>
              <w:rPr>
                <w:sz w:val="26"/>
                <w:szCs w:val="26"/>
              </w:rPr>
            </w:pPr>
          </w:p>
        </w:tc>
      </w:tr>
    </w:tbl>
    <w:p w:rsidR="00F12636" w:rsidRDefault="00F12636" w:rsidP="00F12636">
      <w:pPr>
        <w:tabs>
          <w:tab w:val="left" w:pos="720"/>
        </w:tabs>
        <w:jc w:val="both"/>
        <w:rPr>
          <w:b/>
          <w:sz w:val="26"/>
          <w:szCs w:val="26"/>
        </w:rPr>
      </w:pPr>
    </w:p>
    <w:p w:rsidR="00F12636" w:rsidRDefault="00F12636" w:rsidP="00F12636">
      <w:pPr>
        <w:tabs>
          <w:tab w:val="left" w:pos="720"/>
        </w:tabs>
        <w:jc w:val="both"/>
        <w:rPr>
          <w:b/>
          <w:sz w:val="26"/>
          <w:szCs w:val="26"/>
          <w:lang w:val="pt-BR"/>
        </w:rPr>
      </w:pPr>
      <w:r>
        <w:rPr>
          <w:b/>
          <w:sz w:val="26"/>
          <w:szCs w:val="26"/>
          <w:lang w:val="pt-BR"/>
        </w:rPr>
        <w:t>I. PHẦN TRẮC NGHIỆM: ………....điểm (30 điểm)</w:t>
      </w:r>
    </w:p>
    <w:p w:rsidR="00F12636" w:rsidRDefault="00F12636" w:rsidP="00F12636">
      <w:pPr>
        <w:jc w:val="both"/>
        <w:rPr>
          <w:i/>
          <w:sz w:val="26"/>
          <w:szCs w:val="26"/>
        </w:rPr>
      </w:pPr>
      <w:r>
        <w:rPr>
          <w:i/>
          <w:sz w:val="26"/>
          <w:szCs w:val="26"/>
        </w:rPr>
        <w:t>(Thí sinh đánh dấu gạch chéo (X) vào câu trả lời đúng nhất)</w:t>
      </w:r>
    </w:p>
    <w:p w:rsidR="00F12636" w:rsidRDefault="00F12636" w:rsidP="00F12636">
      <w:pPr>
        <w:tabs>
          <w:tab w:val="left" w:pos="720"/>
        </w:tabs>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07"/>
        <w:gridCol w:w="604"/>
        <w:gridCol w:w="603"/>
        <w:gridCol w:w="603"/>
        <w:gridCol w:w="603"/>
        <w:gridCol w:w="603"/>
        <w:gridCol w:w="603"/>
        <w:gridCol w:w="603"/>
        <w:gridCol w:w="640"/>
        <w:gridCol w:w="640"/>
        <w:gridCol w:w="640"/>
        <w:gridCol w:w="640"/>
        <w:gridCol w:w="640"/>
        <w:gridCol w:w="827"/>
      </w:tblGrid>
      <w:tr w:rsidR="00F12636" w:rsidTr="00F12636">
        <w:trPr>
          <w:trHeight w:val="661"/>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1</w:t>
            </w:r>
          </w:p>
        </w:tc>
        <w:tc>
          <w:tcPr>
            <w:tcW w:w="60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2</w:t>
            </w:r>
          </w:p>
        </w:tc>
        <w:tc>
          <w:tcPr>
            <w:tcW w:w="60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3</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4</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5</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6</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7</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8</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9</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10</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11</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12</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13</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14</w:t>
            </w:r>
          </w:p>
        </w:tc>
        <w:tc>
          <w:tcPr>
            <w:tcW w:w="82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15</w:t>
            </w:r>
          </w:p>
        </w:tc>
      </w:tr>
      <w:tr w:rsidR="00F12636" w:rsidTr="00F12636">
        <w:trPr>
          <w:trHeight w:val="599"/>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A</w:t>
            </w:r>
          </w:p>
        </w:tc>
        <w:tc>
          <w:tcPr>
            <w:tcW w:w="82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A</w:t>
            </w:r>
          </w:p>
        </w:tc>
      </w:tr>
      <w:tr w:rsidR="00F12636" w:rsidTr="00F12636">
        <w:trPr>
          <w:trHeight w:val="61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0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0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82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r>
      <w:tr w:rsidR="00F12636" w:rsidTr="00F12636">
        <w:trPr>
          <w:trHeight w:val="61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82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r>
      <w:tr w:rsidR="00F12636" w:rsidTr="00F12636">
        <w:trPr>
          <w:trHeight w:val="61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82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r>
    </w:tbl>
    <w:p w:rsidR="00F12636" w:rsidRDefault="00F12636" w:rsidP="00F12636">
      <w:pPr>
        <w:tabs>
          <w:tab w:val="left" w:pos="720"/>
        </w:tabs>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907"/>
      </w:tblGrid>
      <w:tr w:rsidR="00F12636" w:rsidTr="00F12636">
        <w:trPr>
          <w:trHeight w:val="661"/>
          <w:jc w:val="center"/>
        </w:trPr>
        <w:tc>
          <w:tcPr>
            <w:tcW w:w="60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16</w:t>
            </w:r>
          </w:p>
        </w:tc>
        <w:tc>
          <w:tcPr>
            <w:tcW w:w="60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17</w:t>
            </w:r>
          </w:p>
        </w:tc>
        <w:tc>
          <w:tcPr>
            <w:tcW w:w="60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18</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19</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20</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21</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22</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23</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24</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25</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26</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27</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28</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29</w:t>
            </w:r>
          </w:p>
        </w:tc>
        <w:tc>
          <w:tcPr>
            <w:tcW w:w="90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b/>
                <w:sz w:val="26"/>
                <w:szCs w:val="26"/>
                <w:lang w:val="pt-BR"/>
              </w:rPr>
            </w:pPr>
            <w:r>
              <w:rPr>
                <w:b/>
                <w:sz w:val="26"/>
                <w:szCs w:val="26"/>
                <w:lang w:val="pt-BR"/>
              </w:rPr>
              <w:t>30</w:t>
            </w:r>
          </w:p>
        </w:tc>
      </w:tr>
      <w:tr w:rsidR="00F12636" w:rsidTr="00F12636">
        <w:trPr>
          <w:trHeight w:val="599"/>
          <w:jc w:val="center"/>
        </w:trPr>
        <w:tc>
          <w:tcPr>
            <w:tcW w:w="60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lang w:val="pt-BR"/>
              </w:rPr>
            </w:pPr>
            <w:r>
              <w:rPr>
                <w:sz w:val="26"/>
                <w:szCs w:val="26"/>
                <w:lang w:val="pt-BR"/>
              </w:rPr>
              <w:t>A</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A</w:t>
            </w:r>
          </w:p>
        </w:tc>
        <w:tc>
          <w:tcPr>
            <w:tcW w:w="90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A</w:t>
            </w:r>
          </w:p>
        </w:tc>
      </w:tr>
      <w:tr w:rsidR="00F12636" w:rsidTr="00F12636">
        <w:trPr>
          <w:trHeight w:val="615"/>
          <w:jc w:val="center"/>
        </w:trPr>
        <w:tc>
          <w:tcPr>
            <w:tcW w:w="60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lastRenderedPageBreak/>
              <w:t>B</w:t>
            </w:r>
          </w:p>
        </w:tc>
        <w:tc>
          <w:tcPr>
            <w:tcW w:w="60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0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c>
          <w:tcPr>
            <w:tcW w:w="90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B</w:t>
            </w:r>
          </w:p>
        </w:tc>
      </w:tr>
      <w:tr w:rsidR="00F12636" w:rsidTr="00F12636">
        <w:trPr>
          <w:trHeight w:val="615"/>
          <w:jc w:val="center"/>
        </w:trPr>
        <w:tc>
          <w:tcPr>
            <w:tcW w:w="60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c>
          <w:tcPr>
            <w:tcW w:w="90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C</w:t>
            </w:r>
          </w:p>
        </w:tc>
      </w:tr>
      <w:tr w:rsidR="00F12636" w:rsidTr="00F12636">
        <w:trPr>
          <w:trHeight w:val="615"/>
          <w:jc w:val="center"/>
        </w:trPr>
        <w:tc>
          <w:tcPr>
            <w:tcW w:w="60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4"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03"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640"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c>
          <w:tcPr>
            <w:tcW w:w="907" w:type="dxa"/>
            <w:tcBorders>
              <w:top w:val="single" w:sz="4" w:space="0" w:color="auto"/>
              <w:left w:val="single" w:sz="4" w:space="0" w:color="auto"/>
              <w:bottom w:val="single" w:sz="4" w:space="0" w:color="auto"/>
              <w:right w:val="single" w:sz="4" w:space="0" w:color="auto"/>
            </w:tcBorders>
            <w:vAlign w:val="center"/>
            <w:hideMark/>
          </w:tcPr>
          <w:p w:rsidR="00F12636" w:rsidRDefault="00F12636">
            <w:pPr>
              <w:spacing w:line="480" w:lineRule="auto"/>
              <w:jc w:val="center"/>
              <w:rPr>
                <w:sz w:val="26"/>
                <w:szCs w:val="26"/>
              </w:rPr>
            </w:pPr>
            <w:r>
              <w:rPr>
                <w:sz w:val="26"/>
                <w:szCs w:val="26"/>
              </w:rPr>
              <w:t>D</w:t>
            </w:r>
          </w:p>
        </w:tc>
      </w:tr>
    </w:tbl>
    <w:p w:rsidR="00F12636" w:rsidRDefault="00F12636" w:rsidP="00F12636">
      <w:pPr>
        <w:jc w:val="both"/>
        <w:rPr>
          <w:sz w:val="26"/>
          <w:szCs w:val="26"/>
        </w:rPr>
      </w:pPr>
    </w:p>
    <w:p w:rsidR="00F12636" w:rsidRDefault="00F12636" w:rsidP="00F12636">
      <w:pPr>
        <w:spacing w:before="120" w:after="120" w:line="264" w:lineRule="auto"/>
        <w:jc w:val="both"/>
        <w:rPr>
          <w:b/>
          <w:sz w:val="28"/>
          <w:szCs w:val="26"/>
        </w:rPr>
      </w:pPr>
      <w:r>
        <w:rPr>
          <w:b/>
          <w:sz w:val="28"/>
          <w:szCs w:val="26"/>
        </w:rPr>
        <w:t>II- Phần thi tự luận (70 điểm)</w:t>
      </w:r>
    </w:p>
    <w:p w:rsidR="00017797" w:rsidRDefault="00017797" w:rsidP="00017797">
      <w:pPr>
        <w:spacing w:line="300" w:lineRule="atLeast"/>
        <w:jc w:val="both"/>
        <w:rPr>
          <w:b/>
          <w:color w:val="222222"/>
          <w:sz w:val="28"/>
          <w:szCs w:val="28"/>
          <w:shd w:val="clear" w:color="auto" w:fill="FFFFFF"/>
        </w:rPr>
      </w:pPr>
      <w:r>
        <w:rPr>
          <w:b/>
          <w:color w:val="222222"/>
          <w:sz w:val="28"/>
          <w:szCs w:val="28"/>
          <w:shd w:val="clear" w:color="auto" w:fill="FFFFFF"/>
        </w:rPr>
        <w:t>Câu 1: Thầy/Cô hãy trình bày thực trạng, khó khăn, thuận lợi trong công tác phồ biến, giáo dục pháp luật tại đơn vị. </w:t>
      </w:r>
    </w:p>
    <w:p w:rsidR="00017797" w:rsidRDefault="00017797" w:rsidP="00017797">
      <w:pPr>
        <w:spacing w:line="300" w:lineRule="atLeast"/>
        <w:jc w:val="both"/>
        <w:rPr>
          <w:b/>
          <w:sz w:val="28"/>
          <w:szCs w:val="28"/>
        </w:rPr>
      </w:pPr>
      <w:r>
        <w:rPr>
          <w:b/>
          <w:color w:val="222222"/>
          <w:sz w:val="28"/>
          <w:szCs w:val="28"/>
          <w:shd w:val="clear" w:color="auto" w:fill="FFFFFF"/>
        </w:rPr>
        <w:tab/>
        <w:t>1./ Thực trạng</w:t>
      </w:r>
    </w:p>
    <w:p w:rsidR="00017797" w:rsidRDefault="00017797" w:rsidP="00017797">
      <w:pPr>
        <w:shd w:val="clear" w:color="auto" w:fill="FFFFFF"/>
        <w:spacing w:before="120" w:after="120" w:line="300" w:lineRule="atLeast"/>
        <w:ind w:firstLine="720"/>
        <w:jc w:val="both"/>
        <w:rPr>
          <w:color w:val="222222"/>
          <w:sz w:val="28"/>
          <w:szCs w:val="28"/>
        </w:rPr>
      </w:pPr>
      <w:r>
        <w:rPr>
          <w:color w:val="222222"/>
          <w:sz w:val="28"/>
          <w:szCs w:val="28"/>
        </w:rPr>
        <w:t>Như chúng ta đã biết: Để xây dựng Nhà nước pháp quyền xã hội chủ nghĩa ở Việt Nam, Hiến pháp năm 2013 đã khẳng định: “Nhà nước quản lý xã hội bằng Hiến pháp và pháp luật”. Nhiệm vụ đầu tiên là phải ban hành pháp luật, tiếp đến là tổ chức thực hiện pháp luật, trong đó, nhiệm vụ tuyên truyền, phổ biến, giáo dục pháp luật (PBGDPL) được xem là khâu then chốt, là cầu nối để đưa các chủ trương, chính sách, pháp luật của Nhà nước đến với các tầng lớp nhân dân. Mục đích của nhiệm vụ tuyên truyền, PBGDPL là nhằm xây dựng ý thức thượng tôn pháp luật, làm cho nhân dân, cán bộ, công chức, viên chức có lòng tin vào pháp luật, có thói quen, động cơ tích cực trong thực hiện pháp luật. Hoạt động tuyên truyền, PBGDPL cần phải thực hiện thường xuyên, liên tục, thực hiện càng nhiều nội dung, phong phú về hình thức, không chỉ bằng lời nói mà bằng hình ảnh minh họa, thực hiện càng nhiều càng tốt, khi nào hoạt động tuyên truyền đến với đối tượng được tuyên truyền biến thành hành động trong thực tế thì hoạt động tuyên truyền, PBGDPL mới thực sự có hiệu quả. Đảng Cộng sản Việt Nam cũng đã đặc biệt coi trọng công tác giáo dục pháp luật, ngay từ Đại hội VI Đảng ta đã nhấn mạnh: “phải coi trọng công tác giáo dục, tuyên truyền, giải thích pháp luật. Đưa việc giáo dục pháp luật vào hệ thống các trường của Đảng, của Nhà nước (kể cả các trường phổ thông,cao đẳng,đại học….), các đoàn thể nhân dân. Cán bộ quản lý các cấp từ trung ương đến đơn vị cơ sở phải có kiến thức về quản lý hành chính và hiểu biết pháp luật”.</w:t>
      </w:r>
    </w:p>
    <w:p w:rsidR="00017797" w:rsidRDefault="00017797" w:rsidP="00017797">
      <w:pPr>
        <w:shd w:val="clear" w:color="auto" w:fill="FFFFFF"/>
        <w:spacing w:before="120" w:after="120" w:line="300" w:lineRule="atLeast"/>
        <w:ind w:firstLine="720"/>
        <w:jc w:val="both"/>
        <w:rPr>
          <w:color w:val="222222"/>
          <w:sz w:val="28"/>
          <w:szCs w:val="28"/>
        </w:rPr>
      </w:pPr>
      <w:r>
        <w:rPr>
          <w:b/>
          <w:bCs/>
          <w:color w:val="222222"/>
          <w:sz w:val="28"/>
          <w:szCs w:val="28"/>
        </w:rPr>
        <w:t xml:space="preserve"> 2./ Thuận lợi</w:t>
      </w:r>
    </w:p>
    <w:p w:rsidR="00017797" w:rsidRDefault="00017797" w:rsidP="00017797">
      <w:pPr>
        <w:shd w:val="clear" w:color="auto" w:fill="FFFFFF"/>
        <w:spacing w:before="120" w:after="120" w:line="300" w:lineRule="atLeast"/>
        <w:ind w:firstLine="720"/>
        <w:jc w:val="both"/>
        <w:rPr>
          <w:color w:val="222222"/>
          <w:sz w:val="28"/>
          <w:szCs w:val="28"/>
        </w:rPr>
      </w:pPr>
      <w:r>
        <w:rPr>
          <w:color w:val="222222"/>
          <w:sz w:val="28"/>
          <w:szCs w:val="28"/>
        </w:rPr>
        <w:t xml:space="preserve">Nhận thức rõ vai trò và tầm quan trọng của hoạt động tuyên truyền, PBGDPL, trong những năm qua, Đảng bộ, chính quyền, công đoàn nhà trường đã triển khai PBGDPL đến toàn thể CB-GV-NV và HSSV thông qua hệ thống thông tin tuyền thông điện tử, Egov, Tuần lễ giáo dụch định hướng trong HSSV đầu năm học, nhiều hoạt động thiết thực khác. Các hoạt động này một mặt làm cho pháp luật của Nhà nước đi vào đời sống xã hội, nâng cao nhận thức và hành động phù hợp với pháp luật của CB-GV-NV HSSVtrong toàn trường, làm cho nhà trường giữ vững ổn định và trật tự an tòan trường học. Đây là nhiệm vụ của cả hệ thống chính trị trong nhà trường, trong đó, lực lượng chủ </w:t>
      </w:r>
      <w:r>
        <w:rPr>
          <w:color w:val="222222"/>
          <w:sz w:val="28"/>
          <w:szCs w:val="28"/>
        </w:rPr>
        <w:lastRenderedPageBreak/>
        <w:t>đạo, nòng cốt trong hoạt động này là Ban công tác giáo dục chính trị tư tưởng nhà trường và Tổ Thanh tra pháp lý.</w:t>
      </w:r>
    </w:p>
    <w:p w:rsidR="00017797" w:rsidRDefault="00017797" w:rsidP="00017797">
      <w:pPr>
        <w:shd w:val="clear" w:color="auto" w:fill="FFFFFF"/>
        <w:spacing w:before="120" w:after="120" w:line="300" w:lineRule="atLeast"/>
        <w:ind w:firstLine="720"/>
        <w:jc w:val="both"/>
        <w:rPr>
          <w:color w:val="222222"/>
          <w:sz w:val="28"/>
          <w:szCs w:val="28"/>
        </w:rPr>
      </w:pPr>
      <w:r>
        <w:rPr>
          <w:color w:val="222222"/>
          <w:sz w:val="28"/>
          <w:szCs w:val="28"/>
        </w:rPr>
        <w:t xml:space="preserve">Trong những năm gần đây Ban công tác giáo dục chính trị tư tưởng nhà trường váo đầu các năm học mới chỉ đạo Tổ Thanh tra pháp chế nhà trưởng tiến hành PBGDPL đã bám sát kế hoạch hoạt động của nhà trường, của ngành theo từng năm, quan tâm tư vấn, tham mưu hoàn thiện thể chế về PBGDPL, hòa giải ở cơ sở; hướng dẫn các đơn vị xác định những nội dung pháp luật trọng tâm cần phổ biến, gắn với nhiệm vụ phát triển nhà trường, đảm bảo, an ninh trật tự, an toàn trường học của nhà trường. Các hoạt động PBGDPL đã bám sát chức năng, nhiệm vụ được quy định tại Quyết định số 27/2013/QĐ- TTg ngày 19/5/2013 của Thủ tướng Chính phủ; công tác phối hợp ngày càng chặt chẽ, bài bản hơn, trách nhiệm của thành viên Ban công tác giáo dục chính trị tư tưởng nhà trường trong PBGDPL được nâng lên, </w:t>
      </w:r>
    </w:p>
    <w:p w:rsidR="00017797" w:rsidRDefault="00017797" w:rsidP="00017797">
      <w:pPr>
        <w:shd w:val="clear" w:color="auto" w:fill="FFFFFF"/>
        <w:spacing w:before="120" w:after="120" w:line="300" w:lineRule="atLeast"/>
        <w:ind w:firstLine="720"/>
        <w:jc w:val="both"/>
        <w:rPr>
          <w:color w:val="222222"/>
          <w:sz w:val="28"/>
          <w:szCs w:val="28"/>
        </w:rPr>
      </w:pPr>
      <w:r>
        <w:rPr>
          <w:b/>
          <w:bCs/>
          <w:color w:val="222222"/>
          <w:sz w:val="28"/>
          <w:szCs w:val="28"/>
        </w:rPr>
        <w:t>3./ Khó khăn, hạn chế</w:t>
      </w:r>
    </w:p>
    <w:p w:rsidR="00017797" w:rsidRDefault="00017797" w:rsidP="00017797">
      <w:pPr>
        <w:shd w:val="clear" w:color="auto" w:fill="FFFFFF"/>
        <w:spacing w:before="120" w:after="120" w:line="300" w:lineRule="atLeast"/>
        <w:ind w:firstLine="720"/>
        <w:jc w:val="both"/>
        <w:rPr>
          <w:color w:val="222222"/>
          <w:sz w:val="28"/>
          <w:szCs w:val="28"/>
        </w:rPr>
      </w:pPr>
      <w:r>
        <w:rPr>
          <w:color w:val="222222"/>
          <w:sz w:val="28"/>
          <w:szCs w:val="28"/>
        </w:rPr>
        <w:t>Bên cạnh những kết quả đạt được, thực tế cho thấy công tác tuyên truyền, PBGDPL của nhà trường vẫn còn gặp không ít khó khăn, hạn chế như: Ý thức tự giác, tự nghiên cứu tìm hiểu pháp luật chưa đợc tự giác, còn thờ ơ do ít liên quan đến thực tế cuộc sống hàng ngày...; công tác truyên truyền, PBGDPL chưa thực hiện được nhiều; việc truyên truyền PBGDPL bằng hình thức tuyên truyền miệng còn hạn chế, các đơn vị chưa quan tâm, chưa chủ động tuyên truyển phổ biến giáo dục pháp luật; kinh phí chi cho công tác việc truyên truyền PBGDPL chưa được quan tâm. Một số nguyên nhân chủ yếu dẫn đến tình trạng trên là do: Nguồn lực cho công tác tuyên truyền, PBGDPL còn khó khăn, hạn hẹp; không có đội ngũ cán bộ chuyên trách về công tác tuyên truyền, PBGDPL; đội ngũ báo cáo viên, tuyên truyền viên pháp luật phần lớn phải đi mời về một số cán bộ có trình độ và kỹ năng tuyên truyền còn hạn chế, chưa thu hút được người nghe; thời gian tập trung để PBGDPLkhông có do giáo viên phải tập trung vào công tác giảng dạy chuyên môn. nên thời gian dành cho việc tuyên truyền, PBGDLP luật ít; việc tổ chức họp chuyên đề để tuyên truyền, PBGDPL khó khăn. Hệ thống truyền thông cơ sở chỉ tập trung một chỗ (TT Thư viện) không đáp ứng được yêu cầu tuyên truyền, PBGDPL; Bộ phận được giao nhiệm vụ chưa chủ động tham mưu hướng dẫn; PBGDPL qua các trang mạng xã hội, trình độ, khả năng khai thác của bản thân cá nhân CB-GV-NVcũng còn nhiều hạn chế./.</w:t>
      </w:r>
      <w:r>
        <w:rPr>
          <w:color w:val="222222"/>
          <w:sz w:val="28"/>
          <w:szCs w:val="28"/>
        </w:rPr>
        <w:tab/>
      </w:r>
    </w:p>
    <w:p w:rsidR="00017797" w:rsidRDefault="00017797" w:rsidP="00017797">
      <w:pPr>
        <w:shd w:val="clear" w:color="auto" w:fill="FFFFFF"/>
        <w:spacing w:before="120" w:after="120" w:line="300" w:lineRule="atLeast"/>
        <w:ind w:firstLine="720"/>
        <w:jc w:val="both"/>
        <w:rPr>
          <w:b/>
          <w:color w:val="222222"/>
          <w:sz w:val="28"/>
          <w:szCs w:val="28"/>
        </w:rPr>
      </w:pPr>
      <w:r>
        <w:rPr>
          <w:b/>
          <w:color w:val="222222"/>
          <w:sz w:val="28"/>
          <w:szCs w:val="28"/>
        </w:rPr>
        <w:t>Câu 2: Thầy/Cô trình bày các giải pháp để giải quyết các vấn đề khó khăn trong công tác phổ biền giáo dục pháp luật tại đơn vị.</w:t>
      </w:r>
    </w:p>
    <w:p w:rsidR="00017797" w:rsidRDefault="00017797" w:rsidP="00017797">
      <w:pPr>
        <w:shd w:val="clear" w:color="auto" w:fill="FFFFFF"/>
        <w:spacing w:before="120" w:after="120" w:line="300" w:lineRule="atLeast"/>
        <w:jc w:val="both"/>
        <w:rPr>
          <w:b/>
          <w:bCs/>
          <w:color w:val="222222"/>
          <w:sz w:val="28"/>
          <w:szCs w:val="28"/>
        </w:rPr>
      </w:pPr>
      <w:r>
        <w:rPr>
          <w:b/>
          <w:bCs/>
          <w:color w:val="222222"/>
          <w:sz w:val="28"/>
          <w:szCs w:val="28"/>
        </w:rPr>
        <w:t xml:space="preserve"> </w:t>
      </w:r>
      <w:r w:rsidR="005173DF">
        <w:rPr>
          <w:b/>
          <w:bCs/>
          <w:color w:val="222222"/>
          <w:sz w:val="28"/>
          <w:szCs w:val="28"/>
        </w:rPr>
        <w:tab/>
      </w:r>
      <w:r>
        <w:rPr>
          <w:b/>
          <w:bCs/>
          <w:color w:val="222222"/>
          <w:sz w:val="28"/>
          <w:szCs w:val="28"/>
        </w:rPr>
        <w:t>Một số nhiệm vụ và giải pháp trong thời gian tới</w:t>
      </w:r>
    </w:p>
    <w:p w:rsidR="00017797" w:rsidRDefault="00017797" w:rsidP="00017797">
      <w:pPr>
        <w:shd w:val="clear" w:color="auto" w:fill="FFFFFF"/>
        <w:spacing w:before="120" w:after="120" w:line="300" w:lineRule="atLeast"/>
        <w:ind w:firstLine="720"/>
        <w:jc w:val="both"/>
        <w:rPr>
          <w:color w:val="222222"/>
          <w:sz w:val="28"/>
          <w:szCs w:val="28"/>
        </w:rPr>
      </w:pPr>
      <w:bookmarkStart w:id="0" w:name="_GoBack"/>
      <w:bookmarkEnd w:id="0"/>
      <w:r>
        <w:rPr>
          <w:color w:val="222222"/>
          <w:sz w:val="28"/>
          <w:szCs w:val="28"/>
        </w:rPr>
        <w:t>Để nâng cao hiểu biết pháp luật của cán bộ giáo viên, nhsân viên trong nhà trường, hạn chế vi phạm pháp luật, hình thành thói quen sống làm việc theo Hiến pháp và pháp luật trong thời gian tới hoạt động tuyên truyền, PBGDPL cần thực hiện tốt những giải pháp sau:</w:t>
      </w:r>
    </w:p>
    <w:p w:rsidR="00017797" w:rsidRDefault="00017797" w:rsidP="00017797">
      <w:pPr>
        <w:shd w:val="clear" w:color="auto" w:fill="FFFFFF"/>
        <w:spacing w:before="120" w:after="120" w:line="300" w:lineRule="atLeast"/>
        <w:ind w:firstLine="720"/>
        <w:jc w:val="both"/>
        <w:rPr>
          <w:color w:val="222222"/>
          <w:sz w:val="28"/>
          <w:szCs w:val="28"/>
        </w:rPr>
      </w:pPr>
      <w:r>
        <w:rPr>
          <w:b/>
          <w:bCs/>
          <w:i/>
          <w:iCs/>
          <w:color w:val="222222"/>
          <w:sz w:val="28"/>
          <w:szCs w:val="28"/>
        </w:rPr>
        <w:lastRenderedPageBreak/>
        <w:t>Thứ nhất,</w:t>
      </w:r>
      <w:r>
        <w:rPr>
          <w:color w:val="222222"/>
          <w:sz w:val="28"/>
          <w:szCs w:val="28"/>
        </w:rPr>
        <w:t> kiện toàn đội ngũ nhân viên và tuyên truyền viên pháp luật. của nhà trường, cần quan tâm hơn nữa đến công tác kiện toàn đội ngũ báo cáo viên và tuyên truyên truyền viên pháp luật, đảm bảo về số lượng và chất lượng, nhất là đội ngũ tuyên truyền viên (nòng cốt Tổ Thanh tra hyáp chế). Phối hợp với các đơn vị mở lớp tập huấn bồi dưỡng và nâng cao kiến thức pháp luật cho đội ngũ cán bộ quản lý các đơn vị, trang bị thêm những kỹ năng cần thiết để khi tuyên truyền ở đơn vị họ có khả năng vận dụng kiến thức, phương pháp tuyên truyền vào nhóm đối tượng cụ thể cho phù hợp;</w:t>
      </w:r>
    </w:p>
    <w:p w:rsidR="00017797" w:rsidRDefault="00017797" w:rsidP="00017797">
      <w:pPr>
        <w:shd w:val="clear" w:color="auto" w:fill="FFFFFF"/>
        <w:spacing w:before="120" w:after="120" w:line="300" w:lineRule="atLeast"/>
        <w:ind w:firstLine="720"/>
        <w:jc w:val="both"/>
        <w:rPr>
          <w:color w:val="222222"/>
          <w:sz w:val="28"/>
          <w:szCs w:val="28"/>
        </w:rPr>
      </w:pPr>
      <w:r>
        <w:rPr>
          <w:b/>
          <w:bCs/>
          <w:i/>
          <w:iCs/>
          <w:color w:val="222222"/>
          <w:sz w:val="28"/>
          <w:szCs w:val="28"/>
        </w:rPr>
        <w:t>Thứ hai,</w:t>
      </w:r>
      <w:r>
        <w:rPr>
          <w:color w:val="222222"/>
          <w:sz w:val="28"/>
          <w:szCs w:val="28"/>
        </w:rPr>
        <w:t> tích cực, chủ động tuyên truyền đúng đối tượng theo quy định của Luật Phổ biến, giáo dục pháp luật. Đối với nhà trường cũng nên phân thành từng nhóm đối tượng để tuyên truyền cho phù hợp. Ví dụ, với nội dung của Luật Hôn nhân và gia đình, Luật Phòng, chống bạo lực trong gia đình, thì đối tượng được tuyên truyền ở đây phải gồm cả nam và nữ, nhất là những người thường xuyên có hành vi bạo lực, đàn ông và thanh niên, đối tượng HSSV là phòng chống bạo lực học đường - những đối tượng rất cần thiết để tiếp thu nội dung của hai văn bản luật trên;</w:t>
      </w:r>
    </w:p>
    <w:p w:rsidR="00017797" w:rsidRDefault="00017797" w:rsidP="00017797">
      <w:pPr>
        <w:shd w:val="clear" w:color="auto" w:fill="FFFFFF"/>
        <w:spacing w:before="120" w:after="120" w:line="300" w:lineRule="atLeast"/>
        <w:ind w:firstLine="720"/>
        <w:jc w:val="both"/>
        <w:rPr>
          <w:color w:val="222222"/>
          <w:sz w:val="28"/>
          <w:szCs w:val="28"/>
        </w:rPr>
      </w:pPr>
      <w:r>
        <w:rPr>
          <w:b/>
          <w:bCs/>
          <w:i/>
          <w:iCs/>
          <w:color w:val="222222"/>
          <w:sz w:val="28"/>
          <w:szCs w:val="28"/>
        </w:rPr>
        <w:t>Thứ ba,</w:t>
      </w:r>
      <w:r>
        <w:rPr>
          <w:color w:val="222222"/>
          <w:sz w:val="28"/>
          <w:szCs w:val="28"/>
        </w:rPr>
        <w:t> Ban công tác giáo dục chính trị tư tưởng chịu trách nhiệm phối hợp cùng Tổ Thanh tra pháp chế PBGDPL nhà trường nên tập trung vào những nội dung cụ thể: Tư vấn tổ chức các hoạt động triển khai các luật mới được Quốc hội khóa XIV thông qua tại các kỳ họp; tuyên truyền kết quả Đại hội Đảng các cấp, nhất là kết quả Đại hội, Đại biểu toàn quốc lần thứ XII của Đảng, tuyên truyền pháp luật về bầu cử, các luật có liên quan thiết thực đến cuộc sống, sinh hoạt của nhân dân, như: Bộ luật Dân sự năm 2015; Bộ luật Tố tụng dân sự năm 2015; Bộ luật Hình sự năm 2015; Bộ luật Tố tụng hình sự năm 2015; Luật Tố tụng hành chính (sửa đổi), Luật Tạm giữ, tạm giam, Luật Trưng cầu ý dân, Luật Phí, lệ phí;</w:t>
      </w:r>
    </w:p>
    <w:p w:rsidR="00017797" w:rsidRDefault="00017797" w:rsidP="00017797">
      <w:pPr>
        <w:shd w:val="clear" w:color="auto" w:fill="FFFFFF"/>
        <w:spacing w:before="120" w:after="120" w:line="300" w:lineRule="atLeast"/>
        <w:ind w:firstLine="720"/>
        <w:jc w:val="both"/>
        <w:rPr>
          <w:color w:val="222222"/>
          <w:sz w:val="28"/>
          <w:szCs w:val="28"/>
        </w:rPr>
      </w:pPr>
      <w:r>
        <w:rPr>
          <w:b/>
          <w:bCs/>
          <w:i/>
          <w:iCs/>
          <w:color w:val="222222"/>
          <w:sz w:val="28"/>
          <w:szCs w:val="28"/>
        </w:rPr>
        <w:t>Thứ tư,</w:t>
      </w:r>
      <w:r>
        <w:rPr>
          <w:color w:val="222222"/>
          <w:sz w:val="28"/>
          <w:szCs w:val="28"/>
        </w:rPr>
        <w:t xml:space="preserve"> Đổi mới, kết hợp sử dụng nhiều hình thức tuyên truyền phù hợp. Điều quan trọng nhất là hình thức tuyên truyền, phổ biến, giáo dục phải phù hợp với đối tượng thì mới mang lại hiệu quả của hoạt động tuyên truyền. </w:t>
      </w:r>
    </w:p>
    <w:p w:rsidR="00017797" w:rsidRDefault="00017797" w:rsidP="00017797">
      <w:pPr>
        <w:shd w:val="clear" w:color="auto" w:fill="FFFFFF"/>
        <w:spacing w:before="120" w:after="120" w:line="300" w:lineRule="atLeast"/>
        <w:ind w:firstLine="720"/>
        <w:jc w:val="both"/>
        <w:rPr>
          <w:color w:val="222222"/>
          <w:sz w:val="28"/>
          <w:szCs w:val="28"/>
        </w:rPr>
      </w:pPr>
      <w:r>
        <w:rPr>
          <w:b/>
          <w:bCs/>
          <w:i/>
          <w:iCs/>
          <w:color w:val="222222"/>
          <w:sz w:val="28"/>
          <w:szCs w:val="28"/>
        </w:rPr>
        <w:t>Thứ năm,</w:t>
      </w:r>
      <w:r>
        <w:rPr>
          <w:color w:val="222222"/>
          <w:sz w:val="28"/>
          <w:szCs w:val="28"/>
        </w:rPr>
        <w:t> Tăng cường kiểm tra về hoạt động tuyên truyền, PBGDPL.Ban công tác giáo dục chính trị tư tưởng, Tổ Thanh tra pháp chế cần thường xuyên kiểm tra hoạt động tuyên truyền, PBGDPL tại các đơn vị trực thuộc trường quản lý, đảm bảo các chủ trương, chính sách của Đảng, pháp luật của Nhà nước thường xuyên được cập nhật đến cán bộ, công chức, viên chức, HSSV ở đơn vị mình. cần tích cực kiểm tra, đôn đốc, nhắc nhở động viên khen thưởng kịp thời các đơn vị  thực hiện tốt công tác phổ biến tuyên truyền giáo dục pháp luật. Yêu cầu bổ sung hoặc thay đổi hình thức tuyên truyền không phù hợp;</w:t>
      </w:r>
    </w:p>
    <w:p w:rsidR="00017797" w:rsidRDefault="00017797" w:rsidP="00017797">
      <w:pPr>
        <w:shd w:val="clear" w:color="auto" w:fill="FFFFFF"/>
        <w:spacing w:before="120" w:after="120" w:line="300" w:lineRule="atLeast"/>
        <w:ind w:firstLine="720"/>
        <w:jc w:val="both"/>
        <w:rPr>
          <w:color w:val="222222"/>
          <w:sz w:val="28"/>
          <w:szCs w:val="28"/>
        </w:rPr>
      </w:pPr>
      <w:r>
        <w:rPr>
          <w:b/>
          <w:bCs/>
          <w:i/>
          <w:iCs/>
          <w:color w:val="222222"/>
          <w:sz w:val="28"/>
          <w:szCs w:val="28"/>
        </w:rPr>
        <w:t>Thứ sáu,</w:t>
      </w:r>
      <w:r>
        <w:rPr>
          <w:color w:val="222222"/>
          <w:sz w:val="28"/>
          <w:szCs w:val="28"/>
        </w:rPr>
        <w:t xml:space="preserve"> Sắp xếp nguồn kinh phi cho hoạt động truyên truyền, PBGDPL. Để tuyên truyền pháp luật, xây dựng tủ sách pháp luật, trang thôn tin điện tử chuyên về pháp luật, cập nhật những văn bản quy phạm pháp luật mới ban hành…. Đ63 phổ biến đến CB-GV-NV,HSSV hiệu quả thì ngoài việc giành thời gian nghiên cứu về các văn </w:t>
      </w:r>
      <w:r>
        <w:rPr>
          <w:color w:val="222222"/>
          <w:sz w:val="28"/>
          <w:szCs w:val="28"/>
        </w:rPr>
        <w:lastRenderedPageBreak/>
        <w:t xml:space="preserve">bản pháp luật, Ban công tác giáo dục chính trị tư tưởng, Tổ Thanh tra pháp chế cần phải nghiên cứu vận dụng hình thức tuyên truyền cho phù hợp với đối tượng, </w:t>
      </w:r>
    </w:p>
    <w:p w:rsidR="00017797" w:rsidRDefault="00017797" w:rsidP="00017797">
      <w:pPr>
        <w:shd w:val="clear" w:color="auto" w:fill="FFFFFF"/>
        <w:spacing w:before="120" w:after="120" w:line="300" w:lineRule="atLeast"/>
        <w:ind w:firstLine="720"/>
        <w:jc w:val="both"/>
        <w:rPr>
          <w:color w:val="222222"/>
          <w:sz w:val="28"/>
          <w:szCs w:val="28"/>
        </w:rPr>
      </w:pPr>
      <w:r>
        <w:rPr>
          <w:b/>
          <w:bCs/>
          <w:i/>
          <w:iCs/>
          <w:color w:val="222222"/>
          <w:sz w:val="28"/>
          <w:szCs w:val="28"/>
        </w:rPr>
        <w:t>Thứ bảy,</w:t>
      </w:r>
      <w:r>
        <w:rPr>
          <w:color w:val="222222"/>
          <w:sz w:val="28"/>
          <w:szCs w:val="28"/>
        </w:rPr>
        <w:t> Các cấp Ủy đảng, chính quyền, Công đoàn, Doàn thanh niên, tăng cường chỉ đạo, quan tâm, phối hợp với nhau thực hiện tốt hơn nữa việc tuyên truyền pháp luật cho cán bộ, công chức, người lao động, HSSV trong cơ quan, đơn vị mình, đồng thời tư vấn, chia sẻ những hình thức tuyên truyền thiết thực, hiệu quả cho các đơn vị khác học tập. Vận động cán bộ, giáo viên, nhân viên  đoàn viên, hội viên, HSSV thực hiện tốt nghĩa vụ công dân nơi cư trú. Phối hợp các hoạt động tuyên truyền, PBGDPL với việc thực hiện cuộc vận động “Toàn dân đoàn kết, xây dụng đời sống văn hóa”, thực hiện “Quy chế dân chủ ở cơ sở” và “xây dựng xã hội học tập”. Tổ chức sơ kết, tổng kết và kiểm tra tổ chức thực hiện tất cả các hoạt động nói trên./.</w:t>
      </w:r>
    </w:p>
    <w:p w:rsidR="00017797" w:rsidRDefault="00017797" w:rsidP="00017797">
      <w:pPr>
        <w:rPr>
          <w:rFonts w:eastAsiaTheme="minorHAnsi"/>
          <w:sz w:val="22"/>
          <w:szCs w:val="22"/>
        </w:rPr>
      </w:pPr>
    </w:p>
    <w:p w:rsidR="00017797" w:rsidRDefault="00017797" w:rsidP="00F12636">
      <w:pPr>
        <w:spacing w:before="120" w:after="120" w:line="264" w:lineRule="auto"/>
        <w:jc w:val="both"/>
        <w:rPr>
          <w:b/>
          <w:sz w:val="28"/>
          <w:szCs w:val="26"/>
        </w:rPr>
      </w:pPr>
    </w:p>
    <w:sectPr w:rsidR="00017797" w:rsidSect="005173DF">
      <w:footerReference w:type="default" r:id="rId9"/>
      <w:pgSz w:w="12240" w:h="15840"/>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769" w:rsidRDefault="00396769" w:rsidP="005173DF">
      <w:r>
        <w:separator/>
      </w:r>
    </w:p>
  </w:endnote>
  <w:endnote w:type="continuationSeparator" w:id="0">
    <w:p w:rsidR="00396769" w:rsidRDefault="00396769" w:rsidP="00517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2705999"/>
      <w:docPartObj>
        <w:docPartGallery w:val="Page Numbers (Bottom of Page)"/>
        <w:docPartUnique/>
      </w:docPartObj>
    </w:sdtPr>
    <w:sdtEndPr>
      <w:rPr>
        <w:noProof/>
      </w:rPr>
    </w:sdtEndPr>
    <w:sdtContent>
      <w:p w:rsidR="005173DF" w:rsidRDefault="005173DF">
        <w:pPr>
          <w:pStyle w:val="Footer"/>
        </w:pPr>
        <w:r>
          <w:fldChar w:fldCharType="begin"/>
        </w:r>
        <w:r>
          <w:instrText xml:space="preserve"> PAGE   \* MERGEFORMAT </w:instrText>
        </w:r>
        <w:r>
          <w:fldChar w:fldCharType="separate"/>
        </w:r>
        <w:r>
          <w:rPr>
            <w:noProof/>
          </w:rPr>
          <w:t>3</w:t>
        </w:r>
        <w:r>
          <w:rPr>
            <w:noProof/>
          </w:rPr>
          <w:fldChar w:fldCharType="end"/>
        </w:r>
      </w:p>
    </w:sdtContent>
  </w:sdt>
  <w:p w:rsidR="005173DF" w:rsidRDefault="005173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769" w:rsidRDefault="00396769" w:rsidP="005173DF">
      <w:r>
        <w:separator/>
      </w:r>
    </w:p>
  </w:footnote>
  <w:footnote w:type="continuationSeparator" w:id="0">
    <w:p w:rsidR="00396769" w:rsidRDefault="00396769" w:rsidP="005173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636"/>
    <w:rsid w:val="00017797"/>
    <w:rsid w:val="001008C5"/>
    <w:rsid w:val="002A68D2"/>
    <w:rsid w:val="00396769"/>
    <w:rsid w:val="004E571E"/>
    <w:rsid w:val="005173DF"/>
    <w:rsid w:val="0053578A"/>
    <w:rsid w:val="005E2FA5"/>
    <w:rsid w:val="00F12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263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link w:val="NormalWeb"/>
    <w:semiHidden/>
    <w:locked/>
    <w:rsid w:val="00F12636"/>
    <w:rPr>
      <w:rFonts w:ascii="Times New Roman" w:eastAsia="Times New Roman" w:hAnsi="Times New Roman" w:cs="Times New Roman"/>
      <w:sz w:val="24"/>
      <w:szCs w:val="24"/>
      <w:lang w:val="x-none" w:eastAsia="x-none"/>
    </w:rPr>
  </w:style>
  <w:style w:type="paragraph" w:styleId="NormalWeb">
    <w:name w:val="Normal (Web)"/>
    <w:basedOn w:val="Normal"/>
    <w:link w:val="NormalWebChar"/>
    <w:semiHidden/>
    <w:unhideWhenUsed/>
    <w:rsid w:val="00F12636"/>
    <w:pPr>
      <w:spacing w:before="100" w:beforeAutospacing="1" w:after="100" w:afterAutospacing="1"/>
    </w:pPr>
    <w:rPr>
      <w:lang w:val="x-none" w:eastAsia="x-none"/>
    </w:rPr>
  </w:style>
  <w:style w:type="paragraph" w:styleId="Header">
    <w:name w:val="header"/>
    <w:basedOn w:val="Normal"/>
    <w:link w:val="HeaderChar"/>
    <w:uiPriority w:val="99"/>
    <w:unhideWhenUsed/>
    <w:rsid w:val="005173DF"/>
    <w:pPr>
      <w:tabs>
        <w:tab w:val="center" w:pos="4680"/>
        <w:tab w:val="right" w:pos="9360"/>
      </w:tabs>
    </w:pPr>
  </w:style>
  <w:style w:type="character" w:customStyle="1" w:styleId="HeaderChar">
    <w:name w:val="Header Char"/>
    <w:basedOn w:val="DefaultParagraphFont"/>
    <w:link w:val="Header"/>
    <w:uiPriority w:val="99"/>
    <w:rsid w:val="005173D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173DF"/>
    <w:pPr>
      <w:tabs>
        <w:tab w:val="center" w:pos="4680"/>
        <w:tab w:val="right" w:pos="9360"/>
      </w:tabs>
    </w:pPr>
  </w:style>
  <w:style w:type="character" w:customStyle="1" w:styleId="FooterChar">
    <w:name w:val="Footer Char"/>
    <w:basedOn w:val="DefaultParagraphFont"/>
    <w:link w:val="Footer"/>
    <w:uiPriority w:val="99"/>
    <w:rsid w:val="005173D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263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link w:val="NormalWeb"/>
    <w:semiHidden/>
    <w:locked/>
    <w:rsid w:val="00F12636"/>
    <w:rPr>
      <w:rFonts w:ascii="Times New Roman" w:eastAsia="Times New Roman" w:hAnsi="Times New Roman" w:cs="Times New Roman"/>
      <w:sz w:val="24"/>
      <w:szCs w:val="24"/>
      <w:lang w:val="x-none" w:eastAsia="x-none"/>
    </w:rPr>
  </w:style>
  <w:style w:type="paragraph" w:styleId="NormalWeb">
    <w:name w:val="Normal (Web)"/>
    <w:basedOn w:val="Normal"/>
    <w:link w:val="NormalWebChar"/>
    <w:semiHidden/>
    <w:unhideWhenUsed/>
    <w:rsid w:val="00F12636"/>
    <w:pPr>
      <w:spacing w:before="100" w:beforeAutospacing="1" w:after="100" w:afterAutospacing="1"/>
    </w:pPr>
    <w:rPr>
      <w:lang w:val="x-none" w:eastAsia="x-none"/>
    </w:rPr>
  </w:style>
  <w:style w:type="paragraph" w:styleId="Header">
    <w:name w:val="header"/>
    <w:basedOn w:val="Normal"/>
    <w:link w:val="HeaderChar"/>
    <w:uiPriority w:val="99"/>
    <w:unhideWhenUsed/>
    <w:rsid w:val="005173DF"/>
    <w:pPr>
      <w:tabs>
        <w:tab w:val="center" w:pos="4680"/>
        <w:tab w:val="right" w:pos="9360"/>
      </w:tabs>
    </w:pPr>
  </w:style>
  <w:style w:type="character" w:customStyle="1" w:styleId="HeaderChar">
    <w:name w:val="Header Char"/>
    <w:basedOn w:val="DefaultParagraphFont"/>
    <w:link w:val="Header"/>
    <w:uiPriority w:val="99"/>
    <w:rsid w:val="005173D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173DF"/>
    <w:pPr>
      <w:tabs>
        <w:tab w:val="center" w:pos="4680"/>
        <w:tab w:val="right" w:pos="9360"/>
      </w:tabs>
    </w:pPr>
  </w:style>
  <w:style w:type="character" w:customStyle="1" w:styleId="FooterChar">
    <w:name w:val="Footer Char"/>
    <w:basedOn w:val="DefaultParagraphFont"/>
    <w:link w:val="Footer"/>
    <w:uiPriority w:val="99"/>
    <w:rsid w:val="005173D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646924">
      <w:bodyDiv w:val="1"/>
      <w:marLeft w:val="0"/>
      <w:marRight w:val="0"/>
      <w:marTop w:val="0"/>
      <w:marBottom w:val="0"/>
      <w:divBdr>
        <w:top w:val="none" w:sz="0" w:space="0" w:color="auto"/>
        <w:left w:val="none" w:sz="0" w:space="0" w:color="auto"/>
        <w:bottom w:val="none" w:sz="0" w:space="0" w:color="auto"/>
        <w:right w:val="none" w:sz="0" w:space="0" w:color="auto"/>
      </w:divBdr>
    </w:div>
    <w:div w:id="1227909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14142-E302-4B71-BF1B-B5A1E1EFA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Pages>
  <Words>1503</Words>
  <Characters>8572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2018-11-07T23:45:00Z</dcterms:created>
  <dcterms:modified xsi:type="dcterms:W3CDTF">2018-11-08T00:23:00Z</dcterms:modified>
</cp:coreProperties>
</file>